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 w:themeColor="text1"/>
          <w:sz w:val="48"/>
          <w:szCs w:val="4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 w:themeColor="text1"/>
          <w:sz w:val="48"/>
          <w:szCs w:val="4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spacing w:before="156" w:beforeLines="50" w:after="156" w:afterLines="50"/>
        <w:ind w:left="0" w:leftChars="0" w:firstLine="0" w:firstLineChars="0"/>
        <w:jc w:val="center"/>
        <w:rPr>
          <w:rFonts w:hint="eastAsia" w:ascii="宋体" w:hAnsi="宋体" w:eastAsia="宋体" w:cs="宋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  <w:t>安徽省专业技术人员综合管理服务平台</w:t>
      </w:r>
    </w:p>
    <w:p>
      <w:pPr>
        <w:spacing w:before="156" w:beforeLines="50" w:after="156" w:afterLines="50"/>
        <w:ind w:firstLine="964"/>
        <w:jc w:val="center"/>
        <w:rPr>
          <w:rFonts w:hint="eastAsia" w:ascii="宋体" w:hAnsi="宋体" w:eastAsia="宋体" w:cs="宋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48"/>
          <w:szCs w:val="48"/>
          <w:lang w:val="en-US" w:eastAsia="zh-CN"/>
          <w14:textFill>
            <w14:solidFill>
              <w14:schemeClr w14:val="tx1"/>
            </w14:solidFill>
          </w14:textFill>
        </w:rPr>
        <w:t>——职称申报</w:t>
      </w:r>
      <w:r>
        <w:rPr>
          <w:rFonts w:hint="eastAsia" w:ascii="宋体" w:hAnsi="宋体" w:eastAsia="宋体" w:cs="宋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  <w:t>操作手册</w:t>
      </w:r>
    </w:p>
    <w:p>
      <w:pPr>
        <w:spacing w:before="156" w:beforeLines="50" w:after="156" w:afterLines="50"/>
        <w:ind w:firstLine="964"/>
        <w:jc w:val="center"/>
        <w:rPr>
          <w:rFonts w:hint="eastAsia" w:ascii="宋体" w:hAnsi="宋体" w:eastAsia="宋体" w:cs="宋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b/>
          <w:color w:val="000000" w:themeColor="text1"/>
          <w:sz w:val="48"/>
          <w:szCs w:val="48"/>
          <w:lang w:val="en-US" w:eastAsia="zh-CN"/>
          <w14:textFill>
            <w14:solidFill>
              <w14:schemeClr w14:val="tx1"/>
            </w14:solidFill>
          </w14:textFill>
        </w:rPr>
        <w:t>用人单位</w:t>
      </w:r>
      <w:r>
        <w:rPr>
          <w:rFonts w:hint="eastAsia" w:ascii="宋体" w:hAnsi="宋体" w:eastAsia="宋体" w:cs="宋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  <w:t>）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198120</wp:posOffset>
                </wp:positionV>
                <wp:extent cx="5400675" cy="0"/>
                <wp:effectExtent l="0" t="28575" r="9525" b="34925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00675" cy="0"/>
                        </a:xfrm>
                        <a:prstGeom prst="line">
                          <a:avLst/>
                        </a:prstGeom>
                        <a:ln w="57150" cap="flat" cmpd="thinThick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8pt;margin-top:15.6pt;height:0pt;width:425.25pt;z-index:251660288;mso-width-relative:page;mso-height-relative:page;" filled="f" stroked="t" coordsize="21600,21600" o:gfxdata="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rPXEUNkAAAAIAQAADwAAAAAAAAABACAAAAAiAAAAZHJzL2Rvd25yZXYu&#10;eG1sUEsBAhQAFAAAAAgAh07iQD69JMb6AQAA7QMAAA4AAAAAAAAAAQAgAAAAKAEAAGRycy9lMm9E&#10;b2MueG1sUEsFBgAAAAAGAAYAWQEAAJQFAAAAAA==&#10;">
                <v:fill on="f" focussize="0,0"/>
                <v:stroke weight="4.5pt" color="#000000" linestyle="thinThick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1" w:firstLineChars="15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before="156" w:beforeLines="50" w:after="156" w:afterLines="50"/>
        <w:ind w:firstLine="482" w:firstLineChars="150"/>
        <w:jc w:val="center"/>
        <w:rPr>
          <w:rFonts w:hint="eastAsia" w:ascii="宋体" w:hAnsi="宋体" w:eastAsia="宋体" w:cs="宋体"/>
          <w:b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安徽省人力资源和社会保障厅</w:t>
      </w:r>
    </w:p>
    <w:p>
      <w:pPr>
        <w:spacing w:before="156" w:beforeLines="50" w:after="156" w:afterLines="50"/>
        <w:ind w:firstLine="482" w:firstLineChars="150"/>
        <w:jc w:val="center"/>
        <w:rPr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40" w:right="1800" w:bottom="1440" w:left="1800" w:header="851" w:footer="992" w:gutter="0"/>
          <w:cols w:space="425" w:num="1"/>
          <w:titlePg/>
          <w:docGrid w:type="lines" w:linePitch="312" w:charSpace="0"/>
        </w:sectPr>
      </w:pPr>
      <w:r>
        <w:rPr>
          <w:rFonts w:hint="eastAsia" w:ascii="宋体" w:hAnsi="宋体" w:eastAsia="宋体" w:cs="宋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2021年0</w:t>
      </w:r>
      <w:r>
        <w:rPr>
          <w:rFonts w:ascii="宋体" w:hAnsi="宋体" w:eastAsia="宋体" w:cs="宋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eastAsia="宋体" w:cs="宋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月</w:t>
      </w:r>
    </w:p>
    <w:sdt>
      <w:sdtP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id w:val="147459100"/>
        <w15:color w:val="DBDBDB"/>
        <w:docPartObj>
          <w:docPartGallery w:val="Table of Contents"/>
          <w:docPartUnique/>
        </w:docPartObj>
      </w:sdtPr>
      <w:sdtEndPr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rFonts w:hint="eastAsia" w:ascii="宋体" w:hAnsi="宋体" w:eastAsia="宋体" w:cs="宋体"/>
              <w:b/>
              <w:bCs/>
              <w:sz w:val="28"/>
              <w:szCs w:val="28"/>
            </w:rPr>
          </w:pPr>
          <w:bookmarkStart w:id="13" w:name="_GoBack"/>
          <w:bookmarkEnd w:id="13"/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目录</w:t>
          </w:r>
        </w:p>
        <w:p>
          <w:pPr>
            <w:pStyle w:val="15"/>
            <w:tabs>
              <w:tab w:val="right" w:leader="dot" w:pos="8757"/>
            </w:tabs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TOC \o "1-3" \h \u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 HYPERLINK \l _Toc19885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一、 注册登录</w:t>
          </w:r>
          <w:r>
            <w:tab/>
          </w:r>
          <w:r>
            <w:fldChar w:fldCharType="begin"/>
          </w:r>
          <w:r>
            <w:instrText xml:space="preserve"> PAGEREF _Toc19885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  <w:p>
          <w:pPr>
            <w:pStyle w:val="15"/>
            <w:tabs>
              <w:tab w:val="right" w:leader="dot" w:pos="8757"/>
            </w:tabs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 HYPERLINK \l _Toc9782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二、 单位首页</w:t>
          </w:r>
          <w:r>
            <w:tab/>
          </w:r>
          <w:r>
            <w:fldChar w:fldCharType="begin"/>
          </w:r>
          <w:r>
            <w:instrText xml:space="preserve"> PAGEREF _Toc9782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  <w:p>
          <w:pPr>
            <w:pStyle w:val="15"/>
            <w:tabs>
              <w:tab w:val="right" w:leader="dot" w:pos="8757"/>
            </w:tabs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 HYPERLINK \l _Toc8849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三、 业绩档案</w:t>
          </w:r>
          <w:r>
            <w:tab/>
          </w:r>
          <w:r>
            <w:fldChar w:fldCharType="begin"/>
          </w:r>
          <w:r>
            <w:instrText xml:space="preserve"> PAGEREF _Toc8849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  <w:p>
          <w:pPr>
            <w:pStyle w:val="16"/>
            <w:tabs>
              <w:tab w:val="right" w:leader="dot" w:pos="8757"/>
            </w:tabs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 HYPERLINK \l _Toc30284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lang w:val="en-US" w:eastAsia="zh-CN"/>
            </w:rPr>
            <w:t xml:space="preserve">（一） </w:t>
          </w:r>
          <w:r>
            <w:rPr>
              <w:rFonts w:hint="eastAsia"/>
              <w:lang w:val="en-US" w:eastAsia="zh-CN"/>
            </w:rPr>
            <w:t>页面展示</w:t>
          </w:r>
          <w:r>
            <w:tab/>
          </w:r>
          <w:r>
            <w:fldChar w:fldCharType="begin"/>
          </w:r>
          <w:r>
            <w:instrText xml:space="preserve"> PAGEREF _Toc30284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  <w:p>
          <w:pPr>
            <w:pStyle w:val="16"/>
            <w:tabs>
              <w:tab w:val="right" w:leader="dot" w:pos="8757"/>
            </w:tabs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 HYPERLINK \l _Toc20650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 w:ascii="Arial" w:hAnsi="Arial" w:eastAsia="宋体" w:cstheme="minorBidi"/>
              <w:lang w:val="en-US" w:eastAsia="zh-CN"/>
            </w:rPr>
            <w:t xml:space="preserve">（二） </w:t>
          </w:r>
          <w:r>
            <w:rPr>
              <w:rFonts w:hint="eastAsia"/>
              <w:lang w:val="en-US" w:eastAsia="zh-CN"/>
            </w:rPr>
            <w:t>业绩审核</w:t>
          </w:r>
          <w:r>
            <w:tab/>
          </w:r>
          <w:r>
            <w:fldChar w:fldCharType="begin"/>
          </w:r>
          <w:r>
            <w:instrText xml:space="preserve"> PAGEREF _Toc20650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  <w:p>
          <w:pPr>
            <w:pStyle w:val="15"/>
            <w:tabs>
              <w:tab w:val="right" w:leader="dot" w:pos="8757"/>
            </w:tabs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 HYPERLINK \l _Toc28948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四、 职称申报</w:t>
          </w:r>
          <w:r>
            <w:tab/>
          </w:r>
          <w:r>
            <w:fldChar w:fldCharType="begin"/>
          </w:r>
          <w:r>
            <w:instrText xml:space="preserve"> PAGEREF _Toc28948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  <w:p>
          <w:pPr>
            <w:pStyle w:val="15"/>
            <w:tabs>
              <w:tab w:val="right" w:leader="dot" w:pos="8757"/>
            </w:tabs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 HYPERLINK \l _Toc12472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五、 人员注册审核</w:t>
          </w:r>
          <w:r>
            <w:tab/>
          </w:r>
          <w:r>
            <w:fldChar w:fldCharType="begin"/>
          </w:r>
          <w:r>
            <w:instrText xml:space="preserve"> PAGEREF _Toc12472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  <w:p>
          <w:pPr>
            <w:pStyle w:val="15"/>
            <w:tabs>
              <w:tab w:val="right" w:leader="dot" w:pos="8757"/>
            </w:tabs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 HYPERLINK \l _Toc16601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六、 任务中心</w:t>
          </w:r>
          <w:r>
            <w:tab/>
          </w:r>
          <w:r>
            <w:fldChar w:fldCharType="begin"/>
          </w:r>
          <w:r>
            <w:instrText xml:space="preserve"> PAGEREF _Toc16601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  <w:p>
          <w:pPr>
            <w:pStyle w:val="15"/>
            <w:tabs>
              <w:tab w:val="right" w:leader="dot" w:pos="8757"/>
            </w:tabs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 HYPERLINK \l _Toc20026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七、 管理设置</w:t>
          </w:r>
          <w:r>
            <w:tab/>
          </w:r>
          <w:r>
            <w:fldChar w:fldCharType="begin"/>
          </w:r>
          <w:r>
            <w:instrText xml:space="preserve"> PAGEREF _Toc20026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  <w:p>
          <w:pPr>
            <w:pStyle w:val="16"/>
            <w:tabs>
              <w:tab w:val="right" w:leader="dot" w:pos="8757"/>
            </w:tabs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 HYPERLINK \l _Toc11254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（一） 单位信息</w:t>
          </w:r>
          <w:r>
            <w:tab/>
          </w:r>
          <w:r>
            <w:fldChar w:fldCharType="begin"/>
          </w:r>
          <w:r>
            <w:instrText xml:space="preserve"> PAGEREF _Toc11254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  <w:p>
          <w:pPr>
            <w:pStyle w:val="16"/>
            <w:tabs>
              <w:tab w:val="right" w:leader="dot" w:pos="8757"/>
            </w:tabs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lang w:val="en-US" w:eastAsia="zh-CN"/>
            </w:rPr>
            <w:instrText xml:space="preserve"> HYPERLINK \l _Toc922 </w:instrText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（二） 岗位核准信息（事业单位）</w:t>
          </w:r>
          <w:r>
            <w:tab/>
          </w:r>
          <w:r>
            <w:fldChar w:fldCharType="begin"/>
          </w:r>
          <w:r>
            <w:instrText xml:space="preserve"> PAGEREF _Toc922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  <w:p>
          <w:pPr>
            <w:bidi w:val="0"/>
            <w:rPr>
              <w:rFonts w:hint="eastAsia" w:ascii="宋体" w:hAnsi="宋体" w:eastAsia="宋体" w:cs="宋体"/>
              <w:lang w:val="en-US" w:eastAsia="zh-CN"/>
            </w:rPr>
          </w:pPr>
          <w:r>
            <w:rPr>
              <w:rFonts w:hint="eastAsia" w:ascii="宋体" w:hAnsi="宋体" w:eastAsia="宋体" w:cs="宋体"/>
              <w:lang w:val="en-US" w:eastAsia="zh-CN"/>
            </w:rPr>
            <w:fldChar w:fldCharType="end"/>
          </w:r>
        </w:p>
      </w:sdtContent>
    </w:sdt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0" w:name="_Toc19885"/>
      <w:r>
        <w:rPr>
          <w:rFonts w:hint="eastAsia"/>
          <w:lang w:val="en-US" w:eastAsia="zh-CN"/>
        </w:rPr>
        <w:t>注册登录</w:t>
      </w:r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0" w:firstLineChars="2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用户在浏览器中输入网址：http://hrss.ah.gov.cn/（</w:t>
      </w:r>
      <w:r>
        <w:rPr>
          <w:rFonts w:hint="eastAsia" w:ascii="宋体" w:hAnsi="宋体" w:eastAsia="宋体" w:cs="宋体"/>
          <w:b/>
        </w:rPr>
        <w:t>推荐使用谷歌浏览器或者360安全浏览器极速模式</w:t>
      </w:r>
      <w:r>
        <w:rPr>
          <w:rFonts w:hint="eastAsia" w:ascii="宋体" w:hAnsi="宋体" w:eastAsia="宋体" w:cs="宋体"/>
        </w:rPr>
        <w:t>），进入安徽省人力资源和社会保障厅首页，点击“</w:t>
      </w:r>
      <w:r>
        <w:rPr>
          <w:rFonts w:hint="eastAsia" w:ascii="宋体" w:hAnsi="宋体" w:eastAsia="宋体" w:cs="宋体"/>
          <w:lang w:val="en-US" w:eastAsia="zh-CN"/>
        </w:rPr>
        <w:t>资讯中心</w:t>
      </w:r>
      <w:r>
        <w:rPr>
          <w:rFonts w:hint="eastAsia" w:ascii="宋体" w:hAnsi="宋体" w:eastAsia="宋体" w:cs="宋体"/>
        </w:rPr>
        <w:t>”</w:t>
      </w:r>
      <w:r>
        <w:rPr>
          <w:rFonts w:hint="eastAsia" w:ascii="宋体" w:hAnsi="宋体" w:eastAsia="宋体" w:cs="宋体"/>
          <w:lang w:val="en-US" w:eastAsia="zh-CN"/>
        </w:rPr>
        <w:t>页面</w:t>
      </w:r>
      <w:r>
        <w:rPr>
          <w:rFonts w:hint="eastAsia" w:ascii="宋体" w:hAnsi="宋体" w:eastAsia="宋体" w:cs="宋体"/>
        </w:rPr>
        <w:t>下</w:t>
      </w:r>
      <w:r>
        <w:rPr>
          <w:rFonts w:hint="eastAsia" w:ascii="宋体" w:hAnsi="宋体" w:eastAsia="宋体" w:cs="宋体"/>
          <w:lang w:val="en-US" w:eastAsia="zh-CN"/>
        </w:rPr>
        <w:t>方</w:t>
      </w:r>
      <w:r>
        <w:rPr>
          <w:rFonts w:hint="eastAsia" w:ascii="宋体" w:hAnsi="宋体" w:eastAsia="宋体" w:cs="宋体"/>
        </w:rPr>
        <w:t>的“</w:t>
      </w:r>
      <w:r>
        <w:rPr>
          <w:rFonts w:hint="eastAsia" w:ascii="宋体" w:hAnsi="宋体" w:eastAsia="宋体" w:cs="宋体"/>
          <w:lang w:val="en-US" w:eastAsia="zh-CN"/>
        </w:rPr>
        <w:t>专题专栏</w:t>
      </w:r>
      <w:r>
        <w:rPr>
          <w:rFonts w:hint="eastAsia" w:ascii="宋体" w:hAnsi="宋体" w:eastAsia="宋体" w:cs="宋体"/>
        </w:rPr>
        <w:t>”中</w:t>
      </w:r>
      <w:r>
        <w:rPr>
          <w:rFonts w:hint="eastAsia" w:ascii="宋体" w:hAnsi="宋体" w:eastAsia="宋体" w:cs="宋体"/>
          <w:lang w:val="en-US" w:eastAsia="zh-CN"/>
        </w:rPr>
        <w:t>的“</w:t>
      </w:r>
      <w:r>
        <w:rPr>
          <w:rFonts w:hint="eastAsia" w:ascii="宋体" w:hAnsi="宋体" w:eastAsia="宋体" w:cs="宋体"/>
          <w:b/>
          <w:bCs/>
        </w:rPr>
        <w:t>专技人员综合管理服务平台</w:t>
      </w:r>
      <w:r>
        <w:rPr>
          <w:rFonts w:hint="eastAsia" w:ascii="宋体" w:hAnsi="宋体" w:eastAsia="宋体" w:cs="宋体"/>
          <w:b/>
          <w:bCs/>
          <w:lang w:eastAsia="zh-CN"/>
        </w:rPr>
        <w:t>”</w:t>
      </w:r>
      <w:r>
        <w:rPr>
          <w:rFonts w:hint="eastAsia" w:ascii="宋体" w:hAnsi="宋体" w:eastAsia="宋体" w:cs="宋体"/>
        </w:rPr>
        <w:t>（以下简称本系统）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  <w:lang w:val="en-US" w:eastAsia="zh-CN"/>
        </w:rPr>
        <w:t>进入本系统首页，选择“</w:t>
      </w:r>
      <w:r>
        <w:rPr>
          <w:rFonts w:hint="eastAsia" w:ascii="宋体" w:hAnsi="宋体" w:eastAsia="宋体" w:cs="宋体"/>
          <w:b/>
          <w:bCs/>
          <w:lang w:val="en-US" w:eastAsia="zh-CN"/>
        </w:rPr>
        <w:t>职称申报</w:t>
      </w:r>
      <w:r>
        <w:rPr>
          <w:rFonts w:hint="eastAsia" w:ascii="宋体" w:hAnsi="宋体" w:eastAsia="宋体" w:cs="宋体"/>
          <w:lang w:val="en-US" w:eastAsia="zh-CN"/>
        </w:rPr>
        <w:t>”，跳转至登录页面</w:t>
      </w:r>
      <w:r>
        <w:rPr>
          <w:rFonts w:hint="eastAsia" w:ascii="宋体" w:hAnsi="宋体" w:eastAsia="宋体" w:cs="宋体"/>
        </w:rPr>
        <w:t>，选择 “</w:t>
      </w:r>
      <w:r>
        <w:rPr>
          <w:rFonts w:hint="eastAsia" w:ascii="宋体" w:hAnsi="宋体" w:eastAsia="宋体" w:cs="宋体"/>
          <w:b/>
          <w:bCs/>
          <w:lang w:val="en-US" w:eastAsia="zh-CN"/>
        </w:rPr>
        <w:t>单位</w:t>
      </w:r>
      <w:r>
        <w:rPr>
          <w:rFonts w:hint="eastAsia" w:ascii="宋体" w:hAnsi="宋体" w:eastAsia="宋体" w:cs="宋体"/>
          <w:b/>
          <w:bCs/>
        </w:rPr>
        <w:t>登录</w:t>
      </w:r>
      <w:r>
        <w:rPr>
          <w:rFonts w:hint="eastAsia" w:ascii="宋体" w:hAnsi="宋体" w:eastAsia="宋体" w:cs="宋体"/>
        </w:rPr>
        <w:t>”</w:t>
      </w:r>
      <w:r>
        <w:rPr>
          <w:rFonts w:hint="eastAsia" w:ascii="宋体" w:hAnsi="宋体" w:eastAsia="宋体" w:cs="宋体"/>
          <w:lang w:val="en-US" w:eastAsia="zh-CN"/>
        </w:rPr>
        <w:t>下方“</w:t>
      </w:r>
      <w:r>
        <w:rPr>
          <w:rFonts w:hint="eastAsia" w:ascii="宋体" w:hAnsi="宋体" w:eastAsia="宋体" w:cs="宋体"/>
          <w:b/>
          <w:bCs/>
        </w:rPr>
        <w:t>前往安徽政务服务网</w:t>
      </w:r>
      <w:r>
        <w:rPr>
          <w:rFonts w:hint="eastAsia" w:ascii="宋体" w:hAnsi="宋体" w:eastAsia="宋体" w:cs="宋体"/>
          <w:lang w:eastAsia="zh-CN"/>
        </w:rPr>
        <w:t>”</w:t>
      </w:r>
      <w:r>
        <w:rPr>
          <w:rFonts w:hint="eastAsia" w:ascii="宋体" w:hAnsi="宋体" w:eastAsia="宋体" w:cs="宋体"/>
        </w:rPr>
        <w:t>，跳转至安徽政务服务网</w:t>
      </w:r>
      <w:r>
        <w:rPr>
          <w:rFonts w:hint="eastAsia" w:ascii="宋体" w:hAnsi="宋体" w:eastAsia="宋体" w:cs="宋体"/>
          <w:lang w:val="en-US" w:eastAsia="zh-CN"/>
        </w:rPr>
        <w:t>登录页面</w:t>
      </w:r>
      <w:r>
        <w:rPr>
          <w:rFonts w:hint="eastAsia" w:ascii="宋体" w:hAnsi="宋体" w:eastAsia="宋体" w:cs="宋体"/>
        </w:rPr>
        <w:t>，使用安徽政务服务网账号</w:t>
      </w:r>
      <w:r>
        <w:rPr>
          <w:rFonts w:hint="eastAsia" w:ascii="宋体" w:hAnsi="宋体" w:eastAsia="宋体" w:cs="宋体"/>
          <w:lang w:val="en-US" w:eastAsia="zh-CN"/>
        </w:rPr>
        <w:t>密码</w:t>
      </w:r>
      <w:r>
        <w:rPr>
          <w:rFonts w:hint="eastAsia" w:ascii="宋体" w:hAnsi="宋体" w:eastAsia="宋体" w:cs="宋体"/>
        </w:rPr>
        <w:t>进行登录。如图1-1、图1-2、图1-3</w:t>
      </w:r>
      <w:r>
        <w:rPr>
          <w:rFonts w:hint="eastAsia" w:ascii="宋体" w:hAnsi="宋体" w:eastAsia="宋体" w:cs="宋体"/>
          <w:lang w:eastAsia="zh-CN"/>
        </w:rPr>
        <w:t>、</w:t>
      </w:r>
      <w:r>
        <w:rPr>
          <w:rFonts w:hint="eastAsia" w:ascii="宋体" w:hAnsi="宋体" w:eastAsia="宋体" w:cs="宋体"/>
          <w:lang w:val="en-US" w:eastAsia="zh-CN"/>
        </w:rPr>
        <w:t>图1-4</w:t>
      </w:r>
      <w:r>
        <w:rPr>
          <w:rFonts w:hint="eastAsia" w:ascii="宋体" w:hAnsi="宋体" w:eastAsia="宋体" w:cs="宋体"/>
        </w:rPr>
        <w:t>所示：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553710" cy="3912235"/>
            <wp:effectExtent l="0" t="0" r="8890" b="444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391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/>
          <w:b/>
          <w:bCs/>
          <w:lang w:val="en-US" w:eastAsia="zh-CN"/>
        </w:rPr>
      </w:pPr>
      <w:r>
        <w:rPr>
          <w:rFonts w:hint="eastAsia" w:ascii="宋体" w:hAnsi="宋体" w:eastAsia="宋体" w:cs="宋体"/>
        </w:rPr>
        <w:t>图1-1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57520" cy="3612515"/>
            <wp:effectExtent l="0" t="0" r="5080" b="14605"/>
            <wp:docPr id="43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57520" cy="361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图1-2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553710" cy="3484245"/>
            <wp:effectExtent l="0" t="0" r="8890" b="571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348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80" w:leftChars="200" w:firstLine="0" w:firstLineChars="0"/>
        <w:jc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图1-</w:t>
      </w:r>
      <w:r>
        <w:rPr>
          <w:rFonts w:hint="eastAsia" w:ascii="宋体" w:hAnsi="宋体" w:eastAsia="宋体" w:cs="宋体"/>
          <w:lang w:val="en-US" w:eastAsia="zh-CN"/>
        </w:rPr>
        <w:t>3</w:t>
      </w:r>
    </w:p>
    <w:p>
      <w:pPr>
        <w:bidi w:val="0"/>
        <w:ind w:left="0" w:leftChars="0" w:firstLine="0" w:firstLineChars="0"/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9265" cy="3599180"/>
            <wp:effectExtent l="0" t="0" r="13335" b="127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49265" cy="359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default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图1-4</w:t>
      </w:r>
    </w:p>
    <w:p>
      <w:pPr>
        <w:numPr>
          <w:ilvl w:val="0"/>
          <w:numId w:val="3"/>
        </w:numPr>
        <w:ind w:left="425" w:leftChars="0" w:hanging="425" w:firstLineChars="0"/>
        <w:jc w:val="both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已有安徽政务服务网账号的单位，可直接在“法人用户”框中登录，支持账号密码登录和支付宝扫码授权登录，登录后自动进入本系统。</w:t>
      </w:r>
    </w:p>
    <w:p>
      <w:pPr>
        <w:numPr>
          <w:ilvl w:val="0"/>
          <w:numId w:val="3"/>
        </w:numPr>
        <w:ind w:left="425" w:leftChars="0" w:hanging="425" w:firstLineChars="0"/>
        <w:jc w:val="both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没有安徽政务服务网账号的单位，点击“法人用户”框下方的“注册”，根据安徽政务服务网提示完成注册。注册成功后，</w:t>
      </w:r>
      <w:r>
        <w:rPr>
          <w:rFonts w:hint="eastAsia" w:ascii="宋体" w:hAnsi="宋体" w:eastAsia="宋体" w:cs="宋体"/>
          <w:lang w:val="en-US" w:eastAsia="zh-CN"/>
        </w:rPr>
        <w:t>进入本系统登录页，</w:t>
      </w:r>
      <w:r>
        <w:rPr>
          <w:rFonts w:hint="eastAsia" w:ascii="宋体" w:hAnsi="宋体" w:eastAsia="宋体" w:cs="宋体"/>
        </w:rPr>
        <w:t>选择 “</w:t>
      </w:r>
      <w:r>
        <w:rPr>
          <w:rFonts w:hint="eastAsia" w:ascii="宋体" w:hAnsi="宋体" w:eastAsia="宋体" w:cs="宋体"/>
          <w:b/>
          <w:bCs/>
          <w:lang w:val="en-US" w:eastAsia="zh-CN"/>
        </w:rPr>
        <w:t>单位</w:t>
      </w:r>
      <w:r>
        <w:rPr>
          <w:rFonts w:hint="eastAsia" w:ascii="宋体" w:hAnsi="宋体" w:eastAsia="宋体" w:cs="宋体"/>
          <w:b/>
          <w:bCs/>
        </w:rPr>
        <w:t>登录</w:t>
      </w:r>
      <w:r>
        <w:rPr>
          <w:rFonts w:hint="eastAsia" w:ascii="宋体" w:hAnsi="宋体" w:eastAsia="宋体" w:cs="宋体"/>
        </w:rPr>
        <w:t>”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  <w:lang w:val="en-US" w:eastAsia="zh-CN"/>
        </w:rPr>
        <w:t>点击“</w:t>
      </w:r>
      <w:r>
        <w:rPr>
          <w:rFonts w:hint="eastAsia" w:ascii="宋体" w:hAnsi="宋体" w:eastAsia="宋体" w:cs="宋体"/>
        </w:rPr>
        <w:t>前往安徽政务服务网</w:t>
      </w:r>
      <w:r>
        <w:rPr>
          <w:rFonts w:hint="eastAsia" w:ascii="宋体" w:hAnsi="宋体" w:eastAsia="宋体" w:cs="宋体"/>
          <w:lang w:eastAsia="zh-CN"/>
        </w:rPr>
        <w:t>”</w:t>
      </w:r>
      <w:r>
        <w:rPr>
          <w:rFonts w:hint="eastAsia" w:ascii="宋体" w:hAnsi="宋体" w:eastAsia="宋体" w:cs="宋体"/>
          <w:lang w:val="en-US" w:eastAsia="zh-CN"/>
        </w:rPr>
        <w:t>进行登录。</w:t>
      </w:r>
    </w:p>
    <w:p>
      <w:pPr>
        <w:numPr>
          <w:ilvl w:val="0"/>
          <w:numId w:val="3"/>
        </w:numPr>
        <w:ind w:left="425" w:leftChars="0" w:hanging="425" w:firstLineChars="0"/>
        <w:jc w:val="both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若用人单位为首次登录本系统，点击安徽政务服务网的“登录”后则将跳转到本系统单位注册界面，需完善单位详细信息并“提交”后方可进入本系统。如图1-5所示：</w:t>
      </w: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554980" cy="3834130"/>
            <wp:effectExtent l="0" t="0" r="7620" b="13970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383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图1-5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color w:val="FF0000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lang w:val="en-US" w:eastAsia="zh-CN"/>
        </w:rPr>
        <w:t>注意：省属单位的属地直接选择“安徽省”，市属单位的属地选择对应市，其他单位请根据实际情况选择对应县区。</w:t>
      </w:r>
    </w:p>
    <w:p>
      <w:pPr>
        <w:numPr>
          <w:ilvl w:val="0"/>
          <w:numId w:val="3"/>
        </w:numPr>
        <w:ind w:left="425" w:leftChars="0" w:hanging="425" w:firstLineChars="0"/>
        <w:jc w:val="both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法在政务网注册账号的单位（无统一社会信用代码或与集团单位共用统一社会信用代码），请将单位相关信息提供给所属人社部门，由人社部门发送给系统运维人员进行账号内置。内置成功后，选择“内置单位登录”，使用内置账号密码进行登录进入本系统。如图1-6所示：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60060" cy="3407410"/>
            <wp:effectExtent l="0" t="0" r="2540" b="635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6006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center"/>
        <w:rPr>
          <w:rFonts w:hint="default" w:ascii="宋体" w:hAnsi="宋体" w:eastAsia="宋体" w:cs="宋体"/>
          <w:b/>
          <w:bCs/>
          <w:color w:val="FF0000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图1-6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1" w:name="_Toc9782"/>
      <w:r>
        <w:rPr>
          <w:rFonts w:hint="eastAsia"/>
          <w:lang w:val="en-US" w:eastAsia="zh-CN"/>
        </w:rPr>
        <w:t>单位首页</w:t>
      </w:r>
      <w:bookmarkEnd w:id="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val="en-US" w:eastAsia="zh-CN"/>
        </w:rPr>
        <w:t>单位管理员进入系统后，首先进入单位首页。系统首页分别展示待审核信息、审核统计情况以及最新职称信息模块。如图2-1所示：</w:t>
      </w:r>
      <w:r>
        <w:drawing>
          <wp:inline distT="0" distB="0" distL="114300" distR="114300">
            <wp:extent cx="5557520" cy="4058920"/>
            <wp:effectExtent l="0" t="0" r="5080" b="17780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57520" cy="405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20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图2-1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2" w:name="_Toc8849"/>
      <w:bookmarkStart w:id="3" w:name="_Toc30609"/>
      <w:r>
        <w:rPr>
          <w:rFonts w:hint="eastAsia"/>
          <w:lang w:val="en-US" w:eastAsia="zh-CN"/>
        </w:rPr>
        <w:t>业绩档案</w:t>
      </w:r>
      <w:bookmarkEnd w:id="2"/>
      <w:bookmarkEnd w:id="3"/>
    </w:p>
    <w:p>
      <w:pPr>
        <w:pStyle w:val="4"/>
        <w:numPr>
          <w:ilvl w:val="1"/>
          <w:numId w:val="4"/>
        </w:numPr>
        <w:rPr>
          <w:rFonts w:hint="eastAsia" w:ascii="宋体" w:hAnsi="宋体" w:eastAsia="宋体" w:cs="宋体"/>
          <w:lang w:val="en-US" w:eastAsia="zh-CN"/>
        </w:rPr>
      </w:pPr>
      <w:bookmarkStart w:id="4" w:name="_Toc1843"/>
      <w:bookmarkStart w:id="5" w:name="_Toc30284"/>
      <w:r>
        <w:rPr>
          <w:rFonts w:hint="eastAsia"/>
          <w:lang w:val="en-US" w:eastAsia="zh-CN"/>
        </w:rPr>
        <w:t>页面展示</w:t>
      </w:r>
      <w:bookmarkEnd w:id="4"/>
      <w:bookmarkEnd w:id="5"/>
    </w:p>
    <w:p>
      <w:pPr>
        <w:keepNext w:val="0"/>
        <w:keepLines w:val="0"/>
        <w:pageBreakBefore w:val="0"/>
        <w:widowControl w:val="0"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业绩档案页面主要展示本单位人员提交的业绩库信息。左侧分类展示业绩库,包括：基本信息、考核表彰、能力条件、工作业绩、论文著作科研、对外援助、行业专用；右侧展示业绩库数据统计信息。如图3-1所示：</w:t>
      </w:r>
    </w:p>
    <w:p>
      <w:pPr>
        <w:numPr>
          <w:ilvl w:val="0"/>
          <w:numId w:val="0"/>
        </w:numPr>
        <w:bidi w:val="0"/>
        <w:ind w:leftChars="0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49900" cy="3247390"/>
            <wp:effectExtent l="0" t="0" r="12700" b="10160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49900" cy="324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图3-1</w:t>
      </w:r>
    </w:p>
    <w:p>
      <w:pPr>
        <w:pStyle w:val="4"/>
        <w:numPr>
          <w:ilvl w:val="1"/>
          <w:numId w:val="4"/>
        </w:numPr>
        <w:rPr>
          <w:rFonts w:hint="eastAsia" w:ascii="Arial" w:hAnsi="Arial" w:eastAsia="宋体" w:cstheme="minorBidi"/>
          <w:lang w:val="en-US" w:eastAsia="zh-CN"/>
        </w:rPr>
      </w:pPr>
      <w:bookmarkStart w:id="6" w:name="_Toc20650"/>
      <w:r>
        <w:rPr>
          <w:rFonts w:hint="eastAsia"/>
          <w:lang w:val="en-US" w:eastAsia="zh-CN"/>
        </w:rPr>
        <w:t>业绩审核</w:t>
      </w:r>
      <w:bookmarkEnd w:id="6"/>
    </w:p>
    <w:p>
      <w:pPr>
        <w:keepNext w:val="0"/>
        <w:keepLines w:val="0"/>
        <w:pageBreakBefore w:val="0"/>
        <w:widowControl w:val="0"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 w:firstLine="480" w:firstLineChars="200"/>
        <w:jc w:val="left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点击左侧分类名称，展开后可以查看每个业绩项的相关信息。以“基本信息”为例：</w:t>
      </w:r>
    </w:p>
    <w:p>
      <w:pPr>
        <w:pStyle w:val="2"/>
        <w:numPr>
          <w:ilvl w:val="0"/>
          <w:numId w:val="5"/>
        </w:numPr>
        <w:spacing w:after="60"/>
        <w:ind w:left="489" w:leftChars="50" w:hanging="369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点击“基本信息”，即可看到“工作经历（5/3）”、“教育经历（4/2）”、“继续教育（6/2）”三个业绩项，括号里的数字分别为该业绩项全部数据和已审核的数据。</w:t>
      </w:r>
    </w:p>
    <w:p>
      <w:pPr>
        <w:pStyle w:val="2"/>
        <w:numPr>
          <w:ilvl w:val="0"/>
          <w:numId w:val="5"/>
        </w:numPr>
        <w:spacing w:after="60"/>
        <w:ind w:left="489" w:leftChars="50" w:hanging="369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“继续教育”，页面显示本单位申报人员在业绩库中提交的全部继续教育数据，单位管理员可选择需审核的信息点击“审核”按钮即可查看并审核相应信息，或者查看完个人申报材料后选择批量审核，如图3-2、图3-3所示：</w:t>
      </w:r>
    </w:p>
    <w:p>
      <w:pPr>
        <w:numPr>
          <w:ilvl w:val="0"/>
          <w:numId w:val="0"/>
        </w:numPr>
        <w:bidi w:val="0"/>
        <w:ind w:leftChars="0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52440" cy="3398520"/>
            <wp:effectExtent l="0" t="0" r="10160" b="1143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52440" cy="33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图3-2</w:t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59425" cy="2540635"/>
            <wp:effectExtent l="0" t="0" r="3175" b="12065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图3-3</w:t>
      </w:r>
    </w:p>
    <w:p>
      <w:pPr>
        <w:numPr>
          <w:ilvl w:val="0"/>
          <w:numId w:val="6"/>
        </w:numPr>
        <w:bidi w:val="0"/>
        <w:ind w:left="420" w:leftChars="0" w:hanging="420" w:firstLine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通过</w:t>
      </w:r>
      <w:r>
        <w:rPr>
          <w:rFonts w:hint="eastAsia" w:ascii="宋体" w:hAnsi="宋体" w:eastAsia="宋体" w:cs="宋体"/>
          <w:lang w:val="en-US" w:eastAsia="zh-CN"/>
        </w:rPr>
        <w:t>：若申报单位对申报人员提交的业绩库信息认可，则点击“通过”按钮，输入审批意见，点击“确定”即可。如图3-4所示：</w:t>
      </w:r>
    </w:p>
    <w:p>
      <w:pPr>
        <w:pStyle w:val="2"/>
        <w:ind w:left="0" w:leftChars="0" w:firstLine="0" w:firstLineChars="0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556250" cy="3373755"/>
            <wp:effectExtent l="0" t="0" r="635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56250" cy="337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图3-4</w:t>
      </w:r>
    </w:p>
    <w:p>
      <w:pPr>
        <w:numPr>
          <w:ilvl w:val="0"/>
          <w:numId w:val="6"/>
        </w:numPr>
        <w:bidi w:val="0"/>
        <w:ind w:left="420" w:leftChars="0" w:hanging="420" w:firstLine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退回</w:t>
      </w:r>
      <w:r>
        <w:rPr>
          <w:rFonts w:hint="eastAsia" w:ascii="宋体" w:hAnsi="宋体" w:eastAsia="宋体" w:cs="宋体"/>
          <w:lang w:val="en-US" w:eastAsia="zh-CN"/>
        </w:rPr>
        <w:t>：若申报单位对申报人员提交的业绩库信息不认可，则点击“退回”按钮，输入退回意见，“确定”即可退回申报个人进行修改。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7" w:name="_Toc28948"/>
      <w:r>
        <w:rPr>
          <w:rFonts w:hint="eastAsia"/>
          <w:lang w:val="en-US" w:eastAsia="zh-CN"/>
        </w:rPr>
        <w:t>职称申报</w:t>
      </w:r>
      <w:bookmarkEnd w:id="7"/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60"/>
        <w:ind w:leftChars="0" w:firstLine="48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点击职称申报，可看到职称申报的申报情况以及评审计划，如图4-1所示，在申报情况的“待审核”列表中，点击申报材料后的“审核”按钮，可以查看申报人员材料详细信息并审核，如图4-2所示：</w:t>
      </w:r>
    </w:p>
    <w:p>
      <w:pPr>
        <w:bidi w:val="0"/>
        <w:ind w:left="0" w:leftChars="0" w:firstLine="0" w:firstLineChars="0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49265" cy="4101465"/>
            <wp:effectExtent l="0" t="0" r="13335" b="13335"/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49265" cy="410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 w:eastAsia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图4-1</w:t>
      </w:r>
    </w:p>
    <w:p>
      <w:pPr>
        <w:bidi w:val="0"/>
        <w:ind w:left="0" w:leftChars="0" w:firstLine="0" w:firstLineChars="0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47360" cy="3037205"/>
            <wp:effectExtent l="0" t="0" r="0" b="10795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303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0"/>
        </w:numPr>
        <w:spacing w:after="60"/>
        <w:ind w:left="425" w:left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图4-2</w:t>
      </w:r>
    </w:p>
    <w:p>
      <w:pPr>
        <w:numPr>
          <w:ilvl w:val="0"/>
          <w:numId w:val="6"/>
        </w:numPr>
        <w:ind w:left="420" w:leftChars="0" w:hanging="420" w:firstLine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通过</w:t>
      </w:r>
      <w:r>
        <w:rPr>
          <w:rFonts w:hint="eastAsia" w:ascii="宋体" w:hAnsi="宋体" w:eastAsia="宋体" w:cs="宋体"/>
          <w:lang w:val="en-US" w:eastAsia="zh-CN"/>
        </w:rPr>
        <w:t>：若申报人员提交的职称申报材料无误，则点击图4-3中的“单位推荐意见”，上传单位公示证明和材料、单位推荐意见等，点击“通过”，输入审批意见，“确定”即可提交到下一审核节点。如图4-4所示：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注：如果单位为事业单位，在审核职称申报数据时，还需要选择该申报人员是否占用本单位的职位数，并填写相应说明。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</w:pPr>
      <w:r>
        <w:drawing>
          <wp:inline distT="0" distB="0" distL="114300" distR="114300">
            <wp:extent cx="5547995" cy="3148330"/>
            <wp:effectExtent l="0" t="0" r="14605" b="6350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47995" cy="314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图4-3</w:t>
      </w:r>
    </w:p>
    <w:p>
      <w:pPr>
        <w:ind w:left="0" w:leftChars="0" w:firstLine="0" w:firstLineChars="0"/>
        <w:jc w:val="both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54345" cy="2484755"/>
            <wp:effectExtent l="0" t="0" r="8255" b="14605"/>
            <wp:docPr id="3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54345" cy="248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图4-4</w:t>
      </w:r>
    </w:p>
    <w:p>
      <w:pPr>
        <w:numPr>
          <w:ilvl w:val="0"/>
          <w:numId w:val="6"/>
        </w:numPr>
        <w:ind w:left="420" w:leftChars="0" w:hanging="420" w:firstLine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退回</w:t>
      </w:r>
      <w:r>
        <w:rPr>
          <w:rFonts w:hint="eastAsia" w:ascii="宋体" w:hAnsi="宋体" w:eastAsia="宋体" w:cs="宋体"/>
          <w:lang w:val="en-US" w:eastAsia="zh-CN"/>
        </w:rPr>
        <w:t>：若申报人员提交的职称申报材料有需要更改的地方，则可点击“退回”按钮，并一次性告知退回意见，退回至申报人员进行补充完善信息。点击“退回”不需要上传推荐意见。</w:t>
      </w:r>
    </w:p>
    <w:p>
      <w:pPr>
        <w:numPr>
          <w:ilvl w:val="0"/>
          <w:numId w:val="6"/>
        </w:numPr>
        <w:ind w:left="420" w:leftChars="0" w:hanging="420" w:firstLine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终止：</w:t>
      </w:r>
      <w:r>
        <w:rPr>
          <w:rFonts w:hint="eastAsia" w:ascii="宋体" w:hAnsi="宋体" w:eastAsia="宋体" w:cs="宋体"/>
          <w:lang w:val="en-US" w:eastAsia="zh-CN"/>
        </w:rPr>
        <w:t>若申报人员不符合本次职称申报条件，则可点击“终止”按钮，将该申报流程进行终止，一旦终止申报人员本年度将无法再进行职称申报。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8" w:name="_Toc12472"/>
      <w:r>
        <w:rPr>
          <w:rFonts w:hint="eastAsia"/>
          <w:lang w:val="en-US" w:eastAsia="zh-CN"/>
        </w:rPr>
        <w:t>人员注册审核</w:t>
      </w:r>
      <w:bookmarkEnd w:id="8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 w:firstLine="48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人员注册审核页面显示本单位人员注册的基本信息，如姓名、性别、证件号码、手机号码、政治面貌、邮箱、注册时间、审核状态等。点击操作栏的“审核”按钮，即可对人员注册情况进行审核。审核通过的人员才可进行业绩库数据的提交和职称申报。如图5-1，图5-2所示：</w:t>
      </w:r>
    </w:p>
    <w:p>
      <w:pPr>
        <w:numPr>
          <w:ilvl w:val="0"/>
          <w:numId w:val="0"/>
        </w:numPr>
        <w:bidi w:val="0"/>
        <w:ind w:leftChars="0"/>
        <w:rPr>
          <w:rFonts w:hint="eastAsia" w:ascii="宋体" w:hAnsi="宋体" w:eastAsia="宋体" w:cs="宋体"/>
          <w:lang w:val="en-US" w:eastAsia="zh-CN"/>
        </w:rPr>
      </w:pPr>
      <w:r>
        <w:drawing>
          <wp:inline distT="0" distB="0" distL="114300" distR="114300">
            <wp:extent cx="5555615" cy="3149600"/>
            <wp:effectExtent l="0" t="0" r="6985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55615" cy="314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图5-1</w:t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58790" cy="2331085"/>
            <wp:effectExtent l="0" t="0" r="3810" b="12065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58790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图5-2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9" w:name="_Toc16601"/>
      <w:r>
        <w:rPr>
          <w:rFonts w:hint="eastAsia"/>
          <w:lang w:val="en-US" w:eastAsia="zh-CN"/>
        </w:rPr>
        <w:t>任务中心</w:t>
      </w:r>
      <w:bookmarkEnd w:id="9"/>
    </w:p>
    <w:p>
      <w:pPr>
        <w:pStyle w:val="2"/>
        <w:ind w:left="0" w:leftChars="0" w:firstLine="420" w:firstLineChars="0"/>
        <w:jc w:val="both"/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任务中心是显示所有的审核数据，如申报人员提交的业绩库数据和职称申报数据，在“待处理”列表中点击申报数据后的“审核”按钮，即可显示相应的申报信息，可进行通过、退回、终止操作，如图6-1、图6-2所示。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56250" cy="2984500"/>
            <wp:effectExtent l="0" t="0" r="6350" b="6350"/>
            <wp:docPr id="3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56250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42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图6-1</w:t>
      </w:r>
    </w:p>
    <w:p>
      <w:pPr>
        <w:pStyle w:val="2"/>
        <w:ind w:left="0" w:leftChars="0" w:firstLine="0" w:firstLineChars="0"/>
        <w:jc w:val="both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60060" cy="3500755"/>
            <wp:effectExtent l="0" t="0" r="2540" b="4445"/>
            <wp:docPr id="4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60060" cy="350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42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图6-2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10" w:name="_Toc20026"/>
      <w:r>
        <w:rPr>
          <w:rFonts w:hint="eastAsia"/>
          <w:lang w:val="en-US" w:eastAsia="zh-CN"/>
        </w:rPr>
        <w:t>管理设置</w:t>
      </w:r>
      <w:bookmarkEnd w:id="1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0" w:firstLineChars="200"/>
        <w:textAlignment w:val="auto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点击管理设置，显示单位信息和岗位核准信息。如图7-1所示：</w:t>
      </w:r>
    </w:p>
    <w:p>
      <w:pPr>
        <w:numPr>
          <w:ilvl w:val="0"/>
          <w:numId w:val="0"/>
        </w:numPr>
        <w:bidi w:val="0"/>
        <w:ind w:leftChars="0"/>
        <w:rPr>
          <w:rFonts w:hint="eastAsia" w:ascii="宋体" w:hAnsi="宋体" w:eastAsia="宋体" w:cs="宋体"/>
          <w:lang w:val="en-US" w:eastAsia="zh-CN"/>
        </w:rPr>
      </w:pPr>
      <w:r>
        <w:drawing>
          <wp:inline distT="0" distB="0" distL="114300" distR="114300">
            <wp:extent cx="5558790" cy="3860165"/>
            <wp:effectExtent l="0" t="0" r="3810" b="6985"/>
            <wp:docPr id="4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58790" cy="386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图7-1</w:t>
      </w:r>
    </w:p>
    <w:p>
      <w:pPr>
        <w:pStyle w:val="4"/>
        <w:numPr>
          <w:ilvl w:val="1"/>
          <w:numId w:val="7"/>
        </w:numPr>
        <w:rPr>
          <w:rFonts w:hint="eastAsia"/>
          <w:lang w:val="en-US" w:eastAsia="zh-CN"/>
        </w:rPr>
      </w:pPr>
      <w:bookmarkStart w:id="11" w:name="_Toc11254"/>
      <w:r>
        <w:rPr>
          <w:rFonts w:hint="eastAsia"/>
          <w:lang w:val="en-US" w:eastAsia="zh-CN"/>
        </w:rPr>
        <w:t>单位信息</w:t>
      </w:r>
      <w:bookmarkEnd w:id="11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/>
        <w:ind w:leftChars="0" w:firstLine="480" w:firstLineChars="200"/>
        <w:textAlignment w:val="auto"/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显示单位基本信息和详细信息，如单位名称、统一社会信用代码、法定代表人姓名、法定代表人身份证号码、联系人姓名、联系人手机号码等。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 w:firstLine="48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点击“完善单位信息”按钮，在弹出的对话框可以修改完善部分信息，修改完成点击“保存”按钮即可。如下图7-2所示：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554980" cy="4524375"/>
            <wp:effectExtent l="0" t="0" r="7620" b="9525"/>
            <wp:docPr id="4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图7-2</w:t>
      </w:r>
    </w:p>
    <w:p>
      <w:pPr>
        <w:pStyle w:val="4"/>
        <w:numPr>
          <w:ilvl w:val="1"/>
          <w:numId w:val="7"/>
        </w:numPr>
        <w:rPr>
          <w:rFonts w:hint="default"/>
          <w:lang w:val="en-US" w:eastAsia="zh-CN"/>
        </w:rPr>
      </w:pPr>
      <w:bookmarkStart w:id="12" w:name="_Toc922"/>
      <w:r>
        <w:rPr>
          <w:rFonts w:hint="eastAsia"/>
          <w:lang w:val="en-US" w:eastAsia="zh-CN"/>
        </w:rPr>
        <w:t>岗位核准信息（事业单位）</w:t>
      </w:r>
      <w:bookmarkEnd w:id="12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 w:firstLine="48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/>
          <w:lang w:val="en-US" w:eastAsia="zh-CN"/>
        </w:rPr>
        <w:t>当单位性质为事业单位时，才显示该菜单。单位需在线录入岗位核准信息，同时上传经人社部门审核盖章后的岗位核准表，设置的信息一旦提交后，不可再更改。</w:t>
      </w:r>
      <w:r>
        <w:rPr>
          <w:rFonts w:hint="eastAsia" w:ascii="宋体" w:hAnsi="宋体" w:eastAsia="宋体" w:cs="宋体"/>
          <w:lang w:val="en-US" w:eastAsia="zh-CN"/>
        </w:rPr>
        <w:t>如图7-3、图7-4所示：</w:t>
      </w:r>
    </w:p>
    <w:p>
      <w:pPr>
        <w:ind w:left="0" w:leftChars="0" w:firstLine="0" w:firstLineChars="0"/>
        <w:jc w:val="both"/>
        <w:rPr>
          <w:rFonts w:hint="eastAsia" w:ascii="宋体" w:hAnsi="宋体" w:eastAsia="宋体" w:cs="宋体"/>
          <w:lang w:val="en-US" w:eastAsia="zh-CN"/>
        </w:rPr>
      </w:pPr>
      <w:r>
        <w:drawing>
          <wp:inline distT="0" distB="0" distL="114300" distR="114300">
            <wp:extent cx="5548630" cy="1988820"/>
            <wp:effectExtent l="0" t="0" r="13970" b="11430"/>
            <wp:docPr id="4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48630" cy="19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图7-3</w:t>
      </w:r>
    </w:p>
    <w:p>
      <w:pPr>
        <w:pStyle w:val="2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60060" cy="3739515"/>
            <wp:effectExtent l="0" t="0" r="2540" b="13335"/>
            <wp:docPr id="4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60060" cy="373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图7-4</w:t>
      </w:r>
    </w:p>
    <w:p>
      <w:pPr>
        <w:pStyle w:val="2"/>
        <w:ind w:left="0" w:leftChars="0" w:firstLine="0" w:firstLineChars="0"/>
        <w:jc w:val="both"/>
        <w:rPr>
          <w:rFonts w:hint="eastAsia"/>
          <w:lang w:val="en-US" w:eastAsia="zh-CN"/>
        </w:rPr>
      </w:pPr>
    </w:p>
    <w:sectPr>
      <w:headerReference r:id="rId11" w:type="default"/>
      <w:footerReference r:id="rId12" w:type="default"/>
      <w:pgSz w:w="11906" w:h="16838"/>
      <w:pgMar w:top="1440" w:right="1800" w:bottom="1440" w:left="1349" w:header="851" w:footer="992" w:gutter="0"/>
      <w:pgNumType w:fmt="decimal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5" name="文本框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  <w:ind w:firstLine="360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o2IpktAgAAVwQAAA4AAABkcnMvZTJvRG9jLnhtbK1UzY7TMBC+I/EO&#10;lu80aWFX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Mo2Ipk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  <w:ind w:firstLine="360"/>
                    </w:pP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KVIPQyAgAAY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pUg9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  <w:ind w:firstLine="480"/>
      </w:pPr>
      <w:r>
        <w:separator/>
      </w:r>
    </w:p>
  </w:footnote>
  <w:footnote w:type="continuationSeparator" w:id="1">
    <w:p>
      <w:pPr>
        <w:spacing w:before="0" w:after="0"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pBdr>
        <w:bottom w:val="single" w:color="auto" w:sz="6" w:space="0"/>
      </w:pBdr>
      <w:ind w:firstLine="0" w:firstLineChars="0"/>
      <w:jc w:val="left"/>
    </w:pPr>
    <w:r>
      <w:drawing>
        <wp:inline distT="0" distB="0" distL="0" distR="0">
          <wp:extent cx="1531620" cy="335915"/>
          <wp:effectExtent l="0" t="0" r="5080" b="6985"/>
          <wp:docPr id="14" name="图片 2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图片 20" descr="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531620" cy="3359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安徽省专业技术人员综合管理服务平台操作手册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ind w:firstLine="0" w:firstLineChars="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pBdr>
        <w:bottom w:val="single" w:color="auto" w:sz="6" w:space="0"/>
      </w:pBdr>
      <w:spacing w:beforeLines="0" w:afterLines="0" w:line="240" w:lineRule="auto"/>
      <w:ind w:firstLine="0" w:firstLineChars="0"/>
      <w:jc w:val="left"/>
      <w:rPr>
        <w:rFonts w:hint="default"/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81A533E"/>
    <w:multiLevelType w:val="singleLevel"/>
    <w:tmpl w:val="881A533E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">
    <w:nsid w:val="C7F77198"/>
    <w:multiLevelType w:val="multilevel"/>
    <w:tmpl w:val="C7F77198"/>
    <w:lvl w:ilvl="0" w:tentative="0">
      <w:start w:val="1"/>
      <w:numFmt w:val="chineseCounting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0">
      <w:start w:val="1"/>
      <w:numFmt w:val="chineseCounting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0">
      <w:start w:val="1"/>
      <w:numFmt w:val="decimal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0">
      <w:start w:val="1"/>
      <w:numFmt w:val="decimal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EnclosedCircleChinese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0">
      <w:start w:val="1"/>
      <w:numFmt w:val="decimal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Letter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suff w:val="nothing"/>
      <w:lvlText w:val="%9 "/>
      <w:lvlJc w:val="left"/>
      <w:pPr>
        <w:ind w:left="0" w:firstLine="402"/>
      </w:pPr>
      <w:rPr>
        <w:rFonts w:hint="eastAsia"/>
      </w:rPr>
    </w:lvl>
  </w:abstractNum>
  <w:abstractNum w:abstractNumId="2">
    <w:nsid w:val="C8195614"/>
    <w:multiLevelType w:val="singleLevel"/>
    <w:tmpl w:val="C8195614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3">
    <w:nsid w:val="DCD11135"/>
    <w:multiLevelType w:val="singleLevel"/>
    <w:tmpl w:val="DCD11135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4">
    <w:nsid w:val="DDB24690"/>
    <w:multiLevelType w:val="multilevel"/>
    <w:tmpl w:val="DDB24690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pStyle w:val="4"/>
      <w:lvlText w:val="(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5">
    <w:nsid w:val="02C90E22"/>
    <w:multiLevelType w:val="multilevel"/>
    <w:tmpl w:val="02C90E22"/>
    <w:lvl w:ilvl="0" w:tentative="0">
      <w:start w:val="1"/>
      <w:numFmt w:val="chineseCounting"/>
      <w:pStyle w:val="3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0">
      <w:start w:val="1"/>
      <w:numFmt w:val="chineseCounting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0">
      <w:start w:val="1"/>
      <w:numFmt w:val="decimal"/>
      <w:pStyle w:val="5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0">
      <w:start w:val="1"/>
      <w:numFmt w:val="decimal"/>
      <w:pStyle w:val="6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EnclosedCircleChinese"/>
      <w:pStyle w:val="7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0">
      <w:start w:val="1"/>
      <w:numFmt w:val="decimal"/>
      <w:pStyle w:val="8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pStyle w:val="9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Letter"/>
      <w:pStyle w:val="10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pStyle w:val="11"/>
      <w:suff w:val="nothing"/>
      <w:lvlText w:val="%9 "/>
      <w:lvlJc w:val="left"/>
      <w:pPr>
        <w:ind w:left="0" w:firstLine="402"/>
      </w:pPr>
      <w:rPr>
        <w:rFonts w:hint="eastAsia"/>
      </w:rPr>
    </w:lvl>
  </w:abstractNum>
  <w:abstractNum w:abstractNumId="6">
    <w:nsid w:val="2DCA1ACC"/>
    <w:multiLevelType w:val="multilevel"/>
    <w:tmpl w:val="2DCA1ACC"/>
    <w:lvl w:ilvl="0" w:tentative="0">
      <w:start w:val="1"/>
      <w:numFmt w:val="chineseCounting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0">
      <w:start w:val="1"/>
      <w:numFmt w:val="chineseCounting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0">
      <w:start w:val="1"/>
      <w:numFmt w:val="decimal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0">
      <w:start w:val="1"/>
      <w:numFmt w:val="decimal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EnclosedCircleChinese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0">
      <w:start w:val="1"/>
      <w:numFmt w:val="decimal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Letter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suff w:val="nothing"/>
      <w:lvlText w:val="%9 "/>
      <w:lvlJc w:val="left"/>
      <w:pPr>
        <w:ind w:left="0" w:firstLine="402"/>
      </w:pPr>
      <w:rPr>
        <w:rFonts w:hint="eastAsia"/>
      </w:r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16736E1"/>
    <w:rsid w:val="00246F1D"/>
    <w:rsid w:val="00E3363F"/>
    <w:rsid w:val="01604770"/>
    <w:rsid w:val="016736E1"/>
    <w:rsid w:val="01FA2379"/>
    <w:rsid w:val="021E2C9B"/>
    <w:rsid w:val="02800373"/>
    <w:rsid w:val="038801F4"/>
    <w:rsid w:val="0391152A"/>
    <w:rsid w:val="0439071F"/>
    <w:rsid w:val="04646E6D"/>
    <w:rsid w:val="04686421"/>
    <w:rsid w:val="052F6B3C"/>
    <w:rsid w:val="059F4C5D"/>
    <w:rsid w:val="0612255A"/>
    <w:rsid w:val="06680BC8"/>
    <w:rsid w:val="076636D0"/>
    <w:rsid w:val="07860834"/>
    <w:rsid w:val="084F5C7A"/>
    <w:rsid w:val="08633B57"/>
    <w:rsid w:val="09ED776E"/>
    <w:rsid w:val="0C2A1483"/>
    <w:rsid w:val="0CCD119C"/>
    <w:rsid w:val="0D001155"/>
    <w:rsid w:val="0DDA2283"/>
    <w:rsid w:val="0E6B64CE"/>
    <w:rsid w:val="0F80356B"/>
    <w:rsid w:val="0F811885"/>
    <w:rsid w:val="0FA14EE2"/>
    <w:rsid w:val="101C72AE"/>
    <w:rsid w:val="10583E82"/>
    <w:rsid w:val="10D16A7F"/>
    <w:rsid w:val="10D46270"/>
    <w:rsid w:val="11182A02"/>
    <w:rsid w:val="12573D31"/>
    <w:rsid w:val="125D3A7F"/>
    <w:rsid w:val="127940D8"/>
    <w:rsid w:val="12EA0A77"/>
    <w:rsid w:val="131D3946"/>
    <w:rsid w:val="13B01E32"/>
    <w:rsid w:val="140F172C"/>
    <w:rsid w:val="142E2921"/>
    <w:rsid w:val="148F7F78"/>
    <w:rsid w:val="15444AE4"/>
    <w:rsid w:val="15B3399F"/>
    <w:rsid w:val="15C75B9A"/>
    <w:rsid w:val="16877C23"/>
    <w:rsid w:val="16A357CF"/>
    <w:rsid w:val="16AB2C98"/>
    <w:rsid w:val="16DA55F9"/>
    <w:rsid w:val="1789104D"/>
    <w:rsid w:val="17D02983"/>
    <w:rsid w:val="18057B4C"/>
    <w:rsid w:val="181B72BD"/>
    <w:rsid w:val="182311E9"/>
    <w:rsid w:val="18643736"/>
    <w:rsid w:val="18D75102"/>
    <w:rsid w:val="18E86C27"/>
    <w:rsid w:val="19662FCE"/>
    <w:rsid w:val="19E06C87"/>
    <w:rsid w:val="1A257EC7"/>
    <w:rsid w:val="1A4117BE"/>
    <w:rsid w:val="1A633CD1"/>
    <w:rsid w:val="1A9E6652"/>
    <w:rsid w:val="1AA235E3"/>
    <w:rsid w:val="1B197F4A"/>
    <w:rsid w:val="1B8D38B4"/>
    <w:rsid w:val="1CDA0851"/>
    <w:rsid w:val="1D544F5F"/>
    <w:rsid w:val="1D7C7458"/>
    <w:rsid w:val="1DAA4673"/>
    <w:rsid w:val="1E43286A"/>
    <w:rsid w:val="1E4C7623"/>
    <w:rsid w:val="1E9D59AB"/>
    <w:rsid w:val="1F011484"/>
    <w:rsid w:val="1F2E720B"/>
    <w:rsid w:val="1F4417D9"/>
    <w:rsid w:val="1FAC6643"/>
    <w:rsid w:val="20F53C0D"/>
    <w:rsid w:val="217A6006"/>
    <w:rsid w:val="21A67AAC"/>
    <w:rsid w:val="22027702"/>
    <w:rsid w:val="22334196"/>
    <w:rsid w:val="22CE4993"/>
    <w:rsid w:val="24534EE5"/>
    <w:rsid w:val="24A83AE3"/>
    <w:rsid w:val="24EE3FDD"/>
    <w:rsid w:val="25477669"/>
    <w:rsid w:val="254C0FD2"/>
    <w:rsid w:val="25DE1751"/>
    <w:rsid w:val="260612E8"/>
    <w:rsid w:val="2681604E"/>
    <w:rsid w:val="26BA7B53"/>
    <w:rsid w:val="27042476"/>
    <w:rsid w:val="273D02D4"/>
    <w:rsid w:val="277439E6"/>
    <w:rsid w:val="28224581"/>
    <w:rsid w:val="28907AF4"/>
    <w:rsid w:val="2927265C"/>
    <w:rsid w:val="2A06212D"/>
    <w:rsid w:val="2A12581B"/>
    <w:rsid w:val="2A7A7CFB"/>
    <w:rsid w:val="2ABA0324"/>
    <w:rsid w:val="2AFD59C6"/>
    <w:rsid w:val="2B5C7F5F"/>
    <w:rsid w:val="2C576DB9"/>
    <w:rsid w:val="2C842B5B"/>
    <w:rsid w:val="2D59264B"/>
    <w:rsid w:val="2D901576"/>
    <w:rsid w:val="2E7A46FE"/>
    <w:rsid w:val="2EAD5F83"/>
    <w:rsid w:val="2EE10FC2"/>
    <w:rsid w:val="2EFB44E7"/>
    <w:rsid w:val="303B2611"/>
    <w:rsid w:val="30B377BA"/>
    <w:rsid w:val="314D136A"/>
    <w:rsid w:val="316F5DF2"/>
    <w:rsid w:val="320F1F32"/>
    <w:rsid w:val="3236549D"/>
    <w:rsid w:val="33B36D87"/>
    <w:rsid w:val="34B0780E"/>
    <w:rsid w:val="34BE256C"/>
    <w:rsid w:val="359D38BA"/>
    <w:rsid w:val="35C3689D"/>
    <w:rsid w:val="36077F15"/>
    <w:rsid w:val="365A3845"/>
    <w:rsid w:val="36C32DEB"/>
    <w:rsid w:val="37067F42"/>
    <w:rsid w:val="3721546B"/>
    <w:rsid w:val="37843E34"/>
    <w:rsid w:val="37CD52CE"/>
    <w:rsid w:val="38AE6228"/>
    <w:rsid w:val="38ED69C4"/>
    <w:rsid w:val="38F827F2"/>
    <w:rsid w:val="396D61FB"/>
    <w:rsid w:val="397406C4"/>
    <w:rsid w:val="3A000F30"/>
    <w:rsid w:val="3A545135"/>
    <w:rsid w:val="3A583459"/>
    <w:rsid w:val="3A6506DE"/>
    <w:rsid w:val="3B027F8D"/>
    <w:rsid w:val="3B6717E0"/>
    <w:rsid w:val="3B76067C"/>
    <w:rsid w:val="3B815E62"/>
    <w:rsid w:val="3BF06A62"/>
    <w:rsid w:val="3C6968F2"/>
    <w:rsid w:val="3CD72D3F"/>
    <w:rsid w:val="3CD83AC4"/>
    <w:rsid w:val="3E8C5646"/>
    <w:rsid w:val="3EE27AF1"/>
    <w:rsid w:val="3F4E3A9B"/>
    <w:rsid w:val="3F880AC5"/>
    <w:rsid w:val="3FEF28C9"/>
    <w:rsid w:val="40143445"/>
    <w:rsid w:val="40517BE5"/>
    <w:rsid w:val="41303ECE"/>
    <w:rsid w:val="41941871"/>
    <w:rsid w:val="424502DF"/>
    <w:rsid w:val="426458E3"/>
    <w:rsid w:val="42BD7A67"/>
    <w:rsid w:val="43171757"/>
    <w:rsid w:val="437C362B"/>
    <w:rsid w:val="437D35A4"/>
    <w:rsid w:val="44021129"/>
    <w:rsid w:val="45725371"/>
    <w:rsid w:val="459365D0"/>
    <w:rsid w:val="45955CD3"/>
    <w:rsid w:val="463B4527"/>
    <w:rsid w:val="46575C20"/>
    <w:rsid w:val="46714E12"/>
    <w:rsid w:val="46E25A9C"/>
    <w:rsid w:val="48370C02"/>
    <w:rsid w:val="48D757BB"/>
    <w:rsid w:val="49112561"/>
    <w:rsid w:val="495C6ADA"/>
    <w:rsid w:val="49635D76"/>
    <w:rsid w:val="497B442B"/>
    <w:rsid w:val="498A411F"/>
    <w:rsid w:val="4A327EAF"/>
    <w:rsid w:val="4AAF5CA6"/>
    <w:rsid w:val="4AF14210"/>
    <w:rsid w:val="4B025EE8"/>
    <w:rsid w:val="4B413AE6"/>
    <w:rsid w:val="4B6A4360"/>
    <w:rsid w:val="4B985E22"/>
    <w:rsid w:val="4C714DC8"/>
    <w:rsid w:val="4DCC2437"/>
    <w:rsid w:val="4E14658E"/>
    <w:rsid w:val="4E90498F"/>
    <w:rsid w:val="50840FB6"/>
    <w:rsid w:val="520D2199"/>
    <w:rsid w:val="527A23BE"/>
    <w:rsid w:val="538A50AB"/>
    <w:rsid w:val="53E408D5"/>
    <w:rsid w:val="549121C7"/>
    <w:rsid w:val="549A4B6A"/>
    <w:rsid w:val="55F57B0F"/>
    <w:rsid w:val="56C808CB"/>
    <w:rsid w:val="56F24844"/>
    <w:rsid w:val="57076CD1"/>
    <w:rsid w:val="57281724"/>
    <w:rsid w:val="57397228"/>
    <w:rsid w:val="58853F91"/>
    <w:rsid w:val="589C5130"/>
    <w:rsid w:val="589F10F3"/>
    <w:rsid w:val="58D752AD"/>
    <w:rsid w:val="58FF61F6"/>
    <w:rsid w:val="591F4FAE"/>
    <w:rsid w:val="595F2F08"/>
    <w:rsid w:val="5B303F0F"/>
    <w:rsid w:val="5C0B521C"/>
    <w:rsid w:val="5C1218FE"/>
    <w:rsid w:val="5C390D0B"/>
    <w:rsid w:val="5CB550BF"/>
    <w:rsid w:val="5CDA01C9"/>
    <w:rsid w:val="5D1E11D7"/>
    <w:rsid w:val="5D604E39"/>
    <w:rsid w:val="5D6A68A9"/>
    <w:rsid w:val="5D780304"/>
    <w:rsid w:val="5D7C0427"/>
    <w:rsid w:val="5DCD6BB7"/>
    <w:rsid w:val="5DD80C95"/>
    <w:rsid w:val="5E0A2247"/>
    <w:rsid w:val="5EF82782"/>
    <w:rsid w:val="5F996F3A"/>
    <w:rsid w:val="60935883"/>
    <w:rsid w:val="60BA0AE2"/>
    <w:rsid w:val="619A6136"/>
    <w:rsid w:val="61DA24CD"/>
    <w:rsid w:val="624A33C1"/>
    <w:rsid w:val="62A06A3B"/>
    <w:rsid w:val="63136D81"/>
    <w:rsid w:val="636507DB"/>
    <w:rsid w:val="63902479"/>
    <w:rsid w:val="63926D35"/>
    <w:rsid w:val="63CA614A"/>
    <w:rsid w:val="66C16CA8"/>
    <w:rsid w:val="66D11DFA"/>
    <w:rsid w:val="66D14531"/>
    <w:rsid w:val="67DD2E37"/>
    <w:rsid w:val="683B65DE"/>
    <w:rsid w:val="686B7291"/>
    <w:rsid w:val="686E3139"/>
    <w:rsid w:val="691C7E42"/>
    <w:rsid w:val="6AC43669"/>
    <w:rsid w:val="6AD365E0"/>
    <w:rsid w:val="6B5C2BC3"/>
    <w:rsid w:val="6BBA7996"/>
    <w:rsid w:val="6C2A7C7D"/>
    <w:rsid w:val="6C3B366D"/>
    <w:rsid w:val="6C475C43"/>
    <w:rsid w:val="6CB7376A"/>
    <w:rsid w:val="6CC32F41"/>
    <w:rsid w:val="6CEE7781"/>
    <w:rsid w:val="6D3659DA"/>
    <w:rsid w:val="6D826C95"/>
    <w:rsid w:val="6E6730C8"/>
    <w:rsid w:val="6E7A5440"/>
    <w:rsid w:val="6F20420A"/>
    <w:rsid w:val="6F204BB8"/>
    <w:rsid w:val="6F6A08F3"/>
    <w:rsid w:val="6F8F6FBB"/>
    <w:rsid w:val="6F9D2A04"/>
    <w:rsid w:val="700E4726"/>
    <w:rsid w:val="70AC1D8C"/>
    <w:rsid w:val="70BB55DD"/>
    <w:rsid w:val="710221BA"/>
    <w:rsid w:val="716747B9"/>
    <w:rsid w:val="72B73218"/>
    <w:rsid w:val="72BF024A"/>
    <w:rsid w:val="732B6A35"/>
    <w:rsid w:val="738400A2"/>
    <w:rsid w:val="74342612"/>
    <w:rsid w:val="751208FA"/>
    <w:rsid w:val="759D768F"/>
    <w:rsid w:val="75CE7FD0"/>
    <w:rsid w:val="76351D1F"/>
    <w:rsid w:val="764674AC"/>
    <w:rsid w:val="766073E2"/>
    <w:rsid w:val="768B396A"/>
    <w:rsid w:val="78214406"/>
    <w:rsid w:val="78CB0AC7"/>
    <w:rsid w:val="79BE6D3F"/>
    <w:rsid w:val="7A4B0D9D"/>
    <w:rsid w:val="7B3714F5"/>
    <w:rsid w:val="7B7842C3"/>
    <w:rsid w:val="7BA064F2"/>
    <w:rsid w:val="7BCF4057"/>
    <w:rsid w:val="7BEC2749"/>
    <w:rsid w:val="7BF60ECB"/>
    <w:rsid w:val="7C6635DC"/>
    <w:rsid w:val="7D1B623C"/>
    <w:rsid w:val="7D974DD5"/>
    <w:rsid w:val="7DAB31EF"/>
    <w:rsid w:val="7DDB4555"/>
    <w:rsid w:val="7DFD35C5"/>
    <w:rsid w:val="7E1F41CD"/>
    <w:rsid w:val="7E7A38E3"/>
    <w:rsid w:val="7FD477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before="120" w:after="120" w:line="360" w:lineRule="auto"/>
      <w:ind w:leftChars="0" w:firstLine="602" w:firstLineChars="200"/>
      <w:jc w:val="both"/>
    </w:pPr>
    <w:rPr>
      <w:rFonts w:asciiTheme="minorAscii" w:hAnsiTheme="minorAscii" w:eastAsiaTheme="minorEastAsia" w:cstheme="minorBidi"/>
      <w:kern w:val="2"/>
      <w:sz w:val="24"/>
      <w:szCs w:val="24"/>
      <w:lang w:val="en-US" w:eastAsia="zh-CN" w:bidi="ar-SA"/>
    </w:rPr>
  </w:style>
  <w:style w:type="paragraph" w:styleId="3">
    <w:name w:val="heading 1"/>
    <w:basedOn w:val="1"/>
    <w:next w:val="1"/>
    <w:link w:val="26"/>
    <w:qFormat/>
    <w:uiPriority w:val="0"/>
    <w:pPr>
      <w:keepNext/>
      <w:keepLines/>
      <w:numPr>
        <w:ilvl w:val="0"/>
        <w:numId w:val="1"/>
      </w:numPr>
      <w:spacing w:before="460" w:beforeLines="0" w:beforeAutospacing="0" w:after="140" w:afterLines="0" w:afterAutospacing="0" w:line="576" w:lineRule="auto"/>
      <w:ind w:firstLineChars="0"/>
      <w:outlineLvl w:val="0"/>
    </w:pPr>
    <w:rPr>
      <w:b/>
      <w:kern w:val="44"/>
      <w:sz w:val="28"/>
    </w:rPr>
  </w:style>
  <w:style w:type="paragraph" w:styleId="4">
    <w:name w:val="heading 2"/>
    <w:basedOn w:val="1"/>
    <w:next w:val="1"/>
    <w:link w:val="25"/>
    <w:unhideWhenUsed/>
    <w:qFormat/>
    <w:uiPriority w:val="0"/>
    <w:pPr>
      <w:keepNext/>
      <w:keepLines/>
      <w:numPr>
        <w:ilvl w:val="1"/>
        <w:numId w:val="2"/>
      </w:numPr>
      <w:spacing w:before="260" w:beforeLines="0" w:beforeAutospacing="0" w:after="140" w:afterLines="0" w:afterAutospacing="0" w:line="360" w:lineRule="auto"/>
      <w:ind w:left="0" w:leftChars="0" w:firstLine="0" w:firstLineChars="0"/>
      <w:jc w:val="left"/>
      <w:outlineLvl w:val="1"/>
    </w:pPr>
    <w:rPr>
      <w:rFonts w:ascii="Arial" w:hAnsi="Arial" w:eastAsia="宋体"/>
      <w:b/>
    </w:rPr>
  </w:style>
  <w:style w:type="paragraph" w:styleId="5">
    <w:name w:val="heading 3"/>
    <w:basedOn w:val="1"/>
    <w:next w:val="1"/>
    <w:link w:val="27"/>
    <w:unhideWhenUsed/>
    <w:qFormat/>
    <w:uiPriority w:val="0"/>
    <w:pPr>
      <w:keepNext/>
      <w:keepLines/>
      <w:numPr>
        <w:ilvl w:val="2"/>
        <w:numId w:val="1"/>
      </w:numPr>
      <w:spacing w:before="340" w:beforeLines="0" w:beforeAutospacing="0" w:after="20" w:afterLines="0" w:afterAutospacing="0" w:line="360" w:lineRule="auto"/>
      <w:ind w:firstLine="403" w:firstLineChars="0"/>
      <w:outlineLvl w:val="2"/>
    </w:pPr>
    <w:rPr>
      <w:b/>
    </w:rPr>
  </w:style>
  <w:style w:type="paragraph" w:styleId="6">
    <w:name w:val="heading 4"/>
    <w:basedOn w:val="1"/>
    <w:next w:val="1"/>
    <w:semiHidden/>
    <w:unhideWhenUsed/>
    <w:qFormat/>
    <w:uiPriority w:val="0"/>
    <w:pPr>
      <w:keepNext/>
      <w:keepLines/>
      <w:numPr>
        <w:ilvl w:val="3"/>
        <w:numId w:val="1"/>
      </w:numPr>
      <w:spacing w:before="280" w:beforeLines="0" w:beforeAutospacing="0" w:after="290" w:afterLines="0" w:afterAutospacing="0" w:line="372" w:lineRule="auto"/>
      <w:ind w:firstLine="402" w:firstLineChars="0"/>
      <w:outlineLvl w:val="3"/>
    </w:pPr>
    <w:rPr>
      <w:rFonts w:ascii="Arial" w:hAnsi="Arial" w:eastAsia="黑体"/>
      <w:b/>
      <w:sz w:val="28"/>
    </w:rPr>
  </w:style>
  <w:style w:type="paragraph" w:styleId="7">
    <w:name w:val="heading 5"/>
    <w:basedOn w:val="1"/>
    <w:next w:val="1"/>
    <w:semiHidden/>
    <w:unhideWhenUsed/>
    <w:qFormat/>
    <w:uiPriority w:val="0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firstLine="402" w:firstLineChars="0"/>
      <w:outlineLvl w:val="4"/>
    </w:pPr>
    <w:rPr>
      <w:b/>
      <w:sz w:val="28"/>
    </w:rPr>
  </w:style>
  <w:style w:type="paragraph" w:styleId="8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firstLine="402" w:firstLineChars="0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semiHidden/>
    <w:unhideWhenUsed/>
    <w:qFormat/>
    <w:uiPriority w:val="0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firstLine="402" w:firstLineChars="0"/>
      <w:outlineLvl w:val="6"/>
    </w:pPr>
    <w:rPr>
      <w:b/>
      <w:sz w:val="24"/>
    </w:rPr>
  </w:style>
  <w:style w:type="paragraph" w:styleId="10">
    <w:name w:val="heading 8"/>
    <w:basedOn w:val="1"/>
    <w:next w:val="1"/>
    <w:semiHidden/>
    <w:unhideWhenUsed/>
    <w:qFormat/>
    <w:uiPriority w:val="0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firstLine="402" w:firstLineChars="0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semiHidden/>
    <w:unhideWhenUsed/>
    <w:qFormat/>
    <w:uiPriority w:val="0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firstLine="402" w:firstLineChars="0"/>
      <w:outlineLvl w:val="8"/>
    </w:pPr>
    <w:rPr>
      <w:rFonts w:ascii="Arial" w:hAnsi="Arial" w:eastAsia="黑体"/>
      <w:sz w:val="21"/>
    </w:rPr>
  </w:style>
  <w:style w:type="character" w:default="1" w:styleId="18">
    <w:name w:val="Default Paragraph Font"/>
    <w:semiHidden/>
    <w:qFormat/>
    <w:uiPriority w:val="0"/>
  </w:style>
  <w:style w:type="table" w:default="1" w:styleId="1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qFormat/>
    <w:uiPriority w:val="99"/>
    <w:pPr>
      <w:spacing w:after="120"/>
      <w:ind w:left="420" w:leftChars="200"/>
    </w:pPr>
  </w:style>
  <w:style w:type="paragraph" w:styleId="12">
    <w:name w:val="toc 3"/>
    <w:basedOn w:val="1"/>
    <w:next w:val="1"/>
    <w:qFormat/>
    <w:uiPriority w:val="0"/>
    <w:pPr>
      <w:ind w:left="840" w:leftChars="400"/>
    </w:pPr>
  </w:style>
  <w:style w:type="paragraph" w:styleId="1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5">
    <w:name w:val="toc 1"/>
    <w:basedOn w:val="1"/>
    <w:next w:val="1"/>
    <w:qFormat/>
    <w:uiPriority w:val="0"/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character" w:styleId="19">
    <w:name w:val="Hyperlink"/>
    <w:basedOn w:val="18"/>
    <w:qFormat/>
    <w:uiPriority w:val="0"/>
    <w:rPr>
      <w:color w:val="0000FF"/>
      <w:u w:val="single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paragraph" w:customStyle="1" w:styleId="21">
    <w:name w:val="样式1"/>
    <w:basedOn w:val="1"/>
    <w:qFormat/>
    <w:uiPriority w:val="0"/>
    <w:pPr>
      <w:spacing w:line="360" w:lineRule="auto"/>
      <w:ind w:leftChars="0" w:firstLine="562" w:firstLineChars="200"/>
    </w:pPr>
  </w:style>
  <w:style w:type="paragraph" w:customStyle="1" w:styleId="22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  <w:style w:type="paragraph" w:customStyle="1" w:styleId="23">
    <w:name w:val="WPSOffice手动目录 2"/>
    <w:qFormat/>
    <w:uiPriority w:val="0"/>
    <w:pPr>
      <w:ind w:leftChars="200"/>
    </w:pPr>
    <w:rPr>
      <w:rFonts w:asciiTheme="minorHAnsi" w:hAnsiTheme="minorHAnsi" w:eastAsiaTheme="minorEastAsia" w:cstheme="minorBidi"/>
      <w:sz w:val="20"/>
      <w:szCs w:val="20"/>
    </w:rPr>
  </w:style>
  <w:style w:type="paragraph" w:customStyle="1" w:styleId="24">
    <w:name w:val="WPSOffice手动目录 3"/>
    <w:qFormat/>
    <w:uiPriority w:val="0"/>
    <w:pPr>
      <w:ind w:leftChars="400"/>
    </w:pPr>
    <w:rPr>
      <w:rFonts w:asciiTheme="minorHAnsi" w:hAnsiTheme="minorHAnsi" w:eastAsiaTheme="minorEastAsia" w:cstheme="minorBidi"/>
      <w:sz w:val="20"/>
      <w:szCs w:val="20"/>
    </w:rPr>
  </w:style>
  <w:style w:type="character" w:customStyle="1" w:styleId="25">
    <w:name w:val="标题 2 Char"/>
    <w:link w:val="4"/>
    <w:qFormat/>
    <w:uiPriority w:val="0"/>
    <w:rPr>
      <w:rFonts w:ascii="Arial" w:hAnsi="Arial" w:eastAsia="宋体"/>
      <w:b/>
    </w:rPr>
  </w:style>
  <w:style w:type="character" w:customStyle="1" w:styleId="26">
    <w:name w:val="标题 1 Char"/>
    <w:link w:val="3"/>
    <w:qFormat/>
    <w:uiPriority w:val="0"/>
    <w:rPr>
      <w:b/>
      <w:kern w:val="44"/>
      <w:sz w:val="28"/>
    </w:rPr>
  </w:style>
  <w:style w:type="character" w:customStyle="1" w:styleId="27">
    <w:name w:val="标题 3 Char"/>
    <w:link w:val="5"/>
    <w:qFormat/>
    <w:uiPriority w:val="0"/>
    <w:rPr>
      <w:rFonts w:eastAsiaTheme="minorEastAsia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24.png"/><Relationship Id="rId35" Type="http://schemas.openxmlformats.org/officeDocument/2006/relationships/image" Target="media/image23.png"/><Relationship Id="rId34" Type="http://schemas.openxmlformats.org/officeDocument/2006/relationships/image" Target="media/image22.png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theme" Target="theme/theme1.xml"/><Relationship Id="rId12" Type="http://schemas.openxmlformats.org/officeDocument/2006/relationships/footer" Target="footer4.xml"/><Relationship Id="rId11" Type="http://schemas.openxmlformats.org/officeDocument/2006/relationships/header" Target="head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47</Pages>
  <Words>5769</Words>
  <Characters>5800</Characters>
  <Lines>0</Lines>
  <Paragraphs>0</Paragraphs>
  <TotalTime>0</TotalTime>
  <ScaleCrop>false</ScaleCrop>
  <LinksUpToDate>false</LinksUpToDate>
  <CharactersWithSpaces>6100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2019-05-20T01:44:00Z</dcterms:created>
  <dc:creator>李凤琴</dc:creator>
  <cp:lastModifiedBy>lfq</cp:lastModifiedBy>
  <cp:lastPrinted>2019-07-10T01:09:00Z</cp:lastPrinted>
  <dcterms:modified xsi:type="dcterms:W3CDTF">2021-08-31T04:08:50Z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4F07A66F3EFF4F1F94A64C2B8D4337CC</vt:lpwstr>
  </property>
</Properties>
</file>